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61" w:firstLineChars="100"/>
        <w:jc w:val="both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</w:rPr>
        <w:t>第二轮中央生态环境保护督察反馈意见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整改任务</w:t>
      </w:r>
    </w:p>
    <w:p>
      <w:pPr>
        <w:spacing w:line="600" w:lineRule="exact"/>
        <w:ind w:firstLine="1446" w:firstLineChars="400"/>
        <w:jc w:val="both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（序号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三十二)</w:t>
      </w:r>
      <w:r>
        <w:rPr>
          <w:rFonts w:hint="eastAsia"/>
          <w:b/>
          <w:bCs/>
          <w:sz w:val="36"/>
          <w:szCs w:val="36"/>
          <w:highlight w:val="none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</w:rPr>
        <w:t>完成情况的公示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spacing w:line="600" w:lineRule="exact"/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为深入贯彻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落实中央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生态</w:t>
      </w:r>
      <w:r>
        <w:rPr>
          <w:rFonts w:hint="eastAsia" w:ascii="仿宋" w:hAnsi="仿宋" w:eastAsia="仿宋" w:cs="仿宋"/>
          <w:sz w:val="32"/>
          <w:szCs w:val="32"/>
        </w:rPr>
        <w:t>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境</w:t>
      </w:r>
      <w:r>
        <w:rPr>
          <w:rFonts w:hint="eastAsia" w:ascii="仿宋" w:hAnsi="仿宋" w:eastAsia="仿宋" w:cs="仿宋"/>
          <w:sz w:val="32"/>
          <w:szCs w:val="32"/>
        </w:rPr>
        <w:t>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护</w:t>
      </w:r>
      <w:r>
        <w:rPr>
          <w:rFonts w:hint="eastAsia" w:ascii="仿宋" w:hAnsi="仿宋" w:eastAsia="仿宋" w:cs="仿宋"/>
          <w:sz w:val="32"/>
          <w:szCs w:val="32"/>
        </w:rPr>
        <w:t>督察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反馈</w:t>
      </w:r>
      <w:r>
        <w:rPr>
          <w:rFonts w:hint="eastAsia" w:ascii="仿宋" w:hAnsi="仿宋" w:eastAsia="仿宋" w:cs="仿宋"/>
          <w:sz w:val="32"/>
          <w:szCs w:val="32"/>
        </w:rPr>
        <w:t>意见，努力改善全区生态环境质量，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长春市九台区环境保护督察反馈问题整改工作领导小组办公室</w:t>
      </w:r>
      <w:r>
        <w:rPr>
          <w:rFonts w:hint="eastAsia" w:ascii="仿宋" w:hAnsi="仿宋" w:eastAsia="仿宋" w:cs="仿宋"/>
          <w:sz w:val="32"/>
          <w:szCs w:val="32"/>
        </w:rPr>
        <w:t>积极开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展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第二轮中央生态环境保护督察反馈意见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整改工作。现将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第三十二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问题</w:t>
      </w:r>
      <w:r>
        <w:rPr>
          <w:rFonts w:hint="eastAsia" w:ascii="仿宋" w:hAnsi="仿宋" w:eastAsia="仿宋" w:cs="仿宋"/>
          <w:sz w:val="32"/>
          <w:szCs w:val="32"/>
        </w:rPr>
        <w:t>整改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完成情况予以</w:t>
      </w:r>
      <w:r>
        <w:rPr>
          <w:rFonts w:hint="eastAsia" w:ascii="仿宋" w:hAnsi="仿宋" w:eastAsia="仿宋" w:cs="仿宋"/>
          <w:sz w:val="32"/>
          <w:szCs w:val="32"/>
        </w:rPr>
        <w:t>公示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整改任务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部分涉危险废物企业日常管理不规范。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auto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二、整改目标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u w:val="none"/>
        </w:rPr>
        <w:t>进一步落实《中华人民共和国固体废物污染环境防治法》等法律法规，加强危险废物收集、贮存、利用和处置全过程规范化监管，提高无害化、安全化处置水平。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三、整改措施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（一）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为强化危险废物环境监管，推动危险废物专项整治三年行动攻坚任务落实，制定了《长春市九台区2022年危险废物专项整治行动工作方案》，组织对辖区危险废物处置单位及年产生危险废物超过（含）10吨的企业进行再排查、再整治，消除环境风险隐患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（二）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根据市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生态环境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局危险废物规范化环境管理评估工作部署，对涉危企业实行分级管理，建立危险废物环境管理重点单位清单，充分利用信息化平台，切实提高危险废物管理信息化水平。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四、整改效果</w:t>
      </w:r>
    </w:p>
    <w:p>
      <w:pPr>
        <w:numPr>
          <w:ilvl w:val="0"/>
          <w:numId w:val="0"/>
        </w:numPr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目前，整改方案确定的整改措施已全部完成。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eastAsia="zh-CN"/>
        </w:rPr>
        <w:t>欢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迎广大人民群众监督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公示时间：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</w:rPr>
        <w:t>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</w:rPr>
        <w:t>年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  <w:lang w:val="en-US"/>
        </w:rPr>
        <w:t>10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</w:rPr>
        <w:t>月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  <w:lang w:val="en-US"/>
        </w:rPr>
        <w:t>25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</w:rPr>
        <w:t>日至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2022年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</w:rPr>
        <w:t>月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  <w:lang w:val="en-US"/>
        </w:rPr>
        <w:t>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日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eastAsia="zh-CN"/>
        </w:rPr>
        <w:t>监督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电话：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val="en-US" w:eastAsia="zh-CN"/>
        </w:rPr>
        <w:t>0431-82346299</w:t>
      </w:r>
    </w:p>
    <w:p>
      <w:pPr>
        <w:pStyle w:val="2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val="en-US" w:eastAsia="zh-CN"/>
        </w:rPr>
      </w:pPr>
    </w:p>
    <w:p>
      <w:pPr>
        <w:numPr>
          <w:ilvl w:val="0"/>
          <w:numId w:val="0"/>
        </w:numPr>
        <w:wordWrap w:val="0"/>
        <w:spacing w:line="360" w:lineRule="auto"/>
        <w:ind w:left="640" w:leftChars="0" w:firstLine="440"/>
        <w:jc w:val="righ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  <w:t>长春市九台区环境保护督察反馈</w:t>
      </w:r>
    </w:p>
    <w:p>
      <w:pPr>
        <w:numPr>
          <w:ilvl w:val="0"/>
          <w:numId w:val="0"/>
        </w:numPr>
        <w:wordWrap w:val="0"/>
        <w:spacing w:line="360" w:lineRule="auto"/>
        <w:ind w:left="640" w:leftChars="0" w:firstLine="440"/>
        <w:jc w:val="righ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  <w:t xml:space="preserve">问题整改工作领导小组办公室 </w:t>
      </w:r>
    </w:p>
    <w:p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2022年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月2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EDE17C"/>
    <w:multiLevelType w:val="singleLevel"/>
    <w:tmpl w:val="5DEDE17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jZWNlNWVkMTAzZjA5ZDQ4NDZlNmYxNzRmYTMxZGQifQ=="/>
  </w:docVars>
  <w:rsids>
    <w:rsidRoot w:val="158A7F38"/>
    <w:rsid w:val="158A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color w:val="000000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2023-03-27T03:15:00Z</dcterms:created>
  <dc:creator>阳光</dc:creator>
  <cp:lastModifiedBy>阳光</cp:lastModifiedBy>
  <dcterms:modified xsi:type="dcterms:W3CDTF">2023-03-27T03:16:08Z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C749523CAC23478B89DFDCE63CDFA3E1</vt:lpwstr>
  </property>
</Properties>
</file>