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吉林省长春市九台区纪家街道办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60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_Toc8728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_Toc8728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_Toc7909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_Toc7909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_Toc21860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_Toc21860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8728"/>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推进域内特色产业发展，从北部二十家子村粉条加工、中部双杖子村薯菜轮作、南部石家村苦菇娘种植三个特色点位发力，以点带面，带动集体增收、百姓致富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790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水库、灌区灌溉运行工作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1.开展水库、大中型灌、涝区工程建设与改造；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2.统计灌区年度实际灌溉面积变化情况；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3.监督考核灌区农业公益性供水工作、灌区水费计收工作完成情况；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4.指导解决灌区供水工作中的问题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1.提供农田水利建设与改造项目的相关数据，配合协调占地、施工道路、料场工作；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2.配合水库、灌区开展年度供水受益面积核实工作，督促用水村做好权属范围内的渠道维护和清淤工作，督促供水受益村做好支渠口以下的水量调配与用水管理工作，配合水库处理水事纠纷；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3.配合水库、灌区完成水费计收工作，配合水库解决水费计收过程中遇到的阻碍和难题，配合水库做好渠道渠堤及渠道保护范围恢复工作；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4.配合开展水库、灌区宣传工作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186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09F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2025-06-27T11:07:38Z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E846949047D94937A95334412F9A8318</vt:lpwstr>
  </property>
</Properties>
</file>