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before="0" w:after="0" w:line="288" w:lineRule="auto"/>
        <w:ind w:left="0" w:leftChars="0" w:right="0" w:firstLine="0" w:firstLineChars="0"/>
        <w:jc w:val="center"/>
        <w:textAlignment w:val="baseline"/>
        <w:outlineLvl w:val="9"/>
        <w:rPr>
          <w:rFonts w:hint="eastAsia" w:ascii="仿宋" w:hAnsi="仿宋" w:eastAsia="仿宋" w:cs="仿宋"/>
          <w:b/>
          <w:sz w:val="36"/>
          <w:szCs w:val="36"/>
          <w:lang w:eastAsia="zh-CN"/>
        </w:rPr>
      </w:pPr>
      <w:r>
        <w:rPr>
          <w:rFonts w:hint="eastAsia" w:ascii="仿宋" w:hAnsi="仿宋" w:eastAsia="仿宋" w:cs="仿宋"/>
          <w:b/>
          <w:sz w:val="36"/>
          <w:szCs w:val="36"/>
        </w:rPr>
        <w:t>关于20</w:t>
      </w:r>
      <w:r>
        <w:rPr>
          <w:rFonts w:hint="eastAsia" w:ascii="仿宋" w:hAnsi="仿宋" w:eastAsia="仿宋" w:cs="仿宋"/>
          <w:b/>
          <w:sz w:val="36"/>
          <w:szCs w:val="36"/>
          <w:lang w:val="en-US" w:eastAsia="zh-CN"/>
        </w:rPr>
        <w:t>21</w:t>
      </w:r>
      <w:r>
        <w:rPr>
          <w:rFonts w:hint="eastAsia" w:ascii="仿宋" w:hAnsi="仿宋" w:eastAsia="仿宋" w:cs="仿宋"/>
          <w:b/>
          <w:sz w:val="36"/>
          <w:szCs w:val="36"/>
        </w:rPr>
        <w:t>年度</w:t>
      </w:r>
      <w:r>
        <w:rPr>
          <w:rFonts w:hint="eastAsia" w:ascii="仿宋" w:hAnsi="仿宋" w:eastAsia="仿宋" w:cs="仿宋"/>
          <w:b/>
          <w:sz w:val="36"/>
          <w:szCs w:val="36"/>
          <w:lang w:val="en-US" w:eastAsia="zh-CN"/>
        </w:rPr>
        <w:t>长春市</w:t>
      </w:r>
      <w:r>
        <w:rPr>
          <w:rFonts w:hint="eastAsia" w:ascii="仿宋" w:hAnsi="仿宋" w:eastAsia="仿宋" w:cs="仿宋"/>
          <w:b/>
          <w:sz w:val="36"/>
          <w:szCs w:val="36"/>
          <w:lang w:eastAsia="zh-CN"/>
        </w:rPr>
        <w:t>九台区本级</w:t>
      </w:r>
    </w:p>
    <w:p>
      <w:pPr>
        <w:widowControl w:val="0"/>
        <w:wordWrap/>
        <w:adjustRightInd w:val="0"/>
        <w:snapToGrid w:val="0"/>
        <w:spacing w:before="0" w:after="0" w:line="288" w:lineRule="auto"/>
        <w:ind w:left="0" w:leftChars="0" w:right="0" w:firstLine="0" w:firstLineChars="0"/>
        <w:jc w:val="center"/>
        <w:textAlignment w:val="baseline"/>
        <w:outlineLvl w:val="9"/>
        <w:rPr>
          <w:rFonts w:hint="eastAsia" w:ascii="仿宋" w:hAnsi="仿宋" w:eastAsia="仿宋" w:cs="仿宋"/>
          <w:b/>
          <w:sz w:val="32"/>
          <w:szCs w:val="32"/>
        </w:rPr>
      </w:pPr>
      <w:r>
        <w:rPr>
          <w:rFonts w:hint="eastAsia" w:ascii="仿宋" w:hAnsi="仿宋" w:eastAsia="仿宋" w:cs="仿宋"/>
          <w:b/>
          <w:sz w:val="36"/>
          <w:szCs w:val="36"/>
        </w:rPr>
        <w:t>预算执行和其他财政收支情况的审计</w:t>
      </w:r>
      <w:r>
        <w:rPr>
          <w:rFonts w:hint="eastAsia" w:ascii="仿宋" w:hAnsi="仿宋" w:eastAsia="仿宋" w:cs="仿宋"/>
          <w:b/>
          <w:sz w:val="36"/>
          <w:szCs w:val="36"/>
          <w:lang w:eastAsia="zh-CN"/>
        </w:rPr>
        <w:t>工作</w:t>
      </w:r>
      <w:r>
        <w:rPr>
          <w:rFonts w:hint="eastAsia" w:ascii="仿宋" w:hAnsi="仿宋" w:eastAsia="仿宋" w:cs="仿宋"/>
          <w:b/>
          <w:sz w:val="36"/>
          <w:szCs w:val="36"/>
        </w:rPr>
        <w:t>报告</w:t>
      </w:r>
    </w:p>
    <w:p>
      <w:pPr>
        <w:ind w:firstLine="617" w:firstLineChars="192"/>
        <w:jc w:val="center"/>
        <w:rPr>
          <w:rFonts w:hint="eastAsia" w:ascii="仿宋" w:hAnsi="仿宋" w:eastAsia="仿宋" w:cs="仿宋"/>
          <w:b/>
          <w:sz w:val="32"/>
          <w:szCs w:val="32"/>
        </w:rPr>
      </w:pPr>
    </w:p>
    <w:p>
      <w:pPr>
        <w:ind w:firstLine="617" w:firstLineChars="192"/>
        <w:jc w:val="center"/>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九台区审计局局长</w:t>
      </w:r>
      <w:r>
        <w:rPr>
          <w:rFonts w:hint="eastAsia" w:ascii="仿宋" w:hAnsi="仿宋" w:eastAsia="仿宋" w:cs="仿宋"/>
          <w:b/>
          <w:sz w:val="32"/>
          <w:szCs w:val="32"/>
          <w:lang w:val="en-US" w:eastAsia="zh-CN"/>
        </w:rPr>
        <w:t xml:space="preserve"> 才巨江</w:t>
      </w:r>
    </w:p>
    <w:p>
      <w:pPr>
        <w:ind w:firstLine="617" w:firstLineChars="192"/>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（2022年8月31日）</w:t>
      </w:r>
    </w:p>
    <w:p>
      <w:pPr>
        <w:ind w:firstLine="617" w:firstLineChars="192"/>
        <w:jc w:val="center"/>
        <w:rPr>
          <w:rFonts w:hint="eastAsia" w:ascii="仿宋" w:hAnsi="仿宋" w:eastAsia="仿宋" w:cs="仿宋"/>
          <w:b/>
          <w:sz w:val="32"/>
          <w:szCs w:val="32"/>
          <w:lang w:val="en-US" w:eastAsia="zh-CN"/>
        </w:rPr>
      </w:pPr>
    </w:p>
    <w:p>
      <w:pPr>
        <w:widowControl w:val="0"/>
        <w:wordWrap/>
        <w:adjustRightInd/>
        <w:snapToGrid/>
        <w:spacing w:line="560" w:lineRule="exact"/>
        <w:textAlignment w:val="auto"/>
        <w:rPr>
          <w:rFonts w:hint="eastAsia" w:ascii="仿宋" w:hAnsi="仿宋" w:eastAsia="仿宋" w:cs="仿宋"/>
          <w:b/>
          <w:sz w:val="32"/>
          <w:szCs w:val="32"/>
        </w:rPr>
      </w:pPr>
      <w:r>
        <w:rPr>
          <w:rFonts w:hint="eastAsia" w:ascii="仿宋" w:hAnsi="仿宋" w:eastAsia="仿宋" w:cs="仿宋"/>
          <w:b/>
          <w:sz w:val="32"/>
          <w:szCs w:val="32"/>
          <w:lang w:eastAsia="zh-CN"/>
        </w:rPr>
        <w:t>主任、各位副主任、秘书长、各位委员</w:t>
      </w:r>
      <w:r>
        <w:rPr>
          <w:rFonts w:hint="eastAsia" w:ascii="仿宋" w:hAnsi="仿宋" w:eastAsia="仿宋" w:cs="仿宋"/>
          <w:b/>
          <w:sz w:val="32"/>
          <w:szCs w:val="32"/>
        </w:rPr>
        <w:t>：</w:t>
      </w:r>
    </w:p>
    <w:p>
      <w:pPr>
        <w:widowControl w:val="0"/>
        <w:wordWrap/>
        <w:adjustRightInd/>
        <w:snapToGrid/>
        <w:spacing w:line="560" w:lineRule="exact"/>
        <w:ind w:firstLine="640"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lang w:val="en-US" w:eastAsia="zh-CN"/>
        </w:rPr>
        <w:t>我</w:t>
      </w:r>
      <w:r>
        <w:rPr>
          <w:rFonts w:hint="eastAsia" w:ascii="仿宋" w:hAnsi="仿宋" w:eastAsia="仿宋" w:cs="仿宋"/>
          <w:sz w:val="32"/>
          <w:szCs w:val="32"/>
          <w:lang w:eastAsia="zh-CN"/>
        </w:rPr>
        <w:t>受长春市九台区人民政府委托，向本次常委会报告</w:t>
      </w:r>
      <w:r>
        <w:rPr>
          <w:rFonts w:hint="eastAsia" w:ascii="仿宋" w:hAnsi="仿宋" w:eastAsia="仿宋" w:cs="仿宋"/>
          <w:sz w:val="32"/>
          <w:szCs w:val="32"/>
          <w:lang w:val="en-US" w:eastAsia="zh-CN"/>
        </w:rPr>
        <w:t>2021年度长春市九台区本级预算执行和其他财政收支的审计情况，请予审议。</w:t>
      </w:r>
    </w:p>
    <w:p>
      <w:pPr>
        <w:widowControl w:val="0"/>
        <w:wordWrap/>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根据《中华人民共和国审计法》</w:t>
      </w:r>
      <w:r>
        <w:rPr>
          <w:rFonts w:hint="eastAsia" w:ascii="仿宋" w:hAnsi="仿宋" w:eastAsia="仿宋" w:cs="仿宋"/>
          <w:sz w:val="32"/>
          <w:szCs w:val="32"/>
          <w:highlight w:val="none"/>
          <w:lang w:val="en-US" w:eastAsia="zh-CN"/>
        </w:rPr>
        <w:t>第十七条的规定及区委、区政府的工作部署</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审计局对2021年度</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本级预算执行</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其他财政收支情况进行了审计。审计中，我们坚持以习近平新时代中国特色社会主义思想为指导，认真贯彻落实党的十九大、十九届历次全会精神和习近平总书记在中央审计委员会上的重要讲话及对审计工作的指示批示精神，紧紧围绕</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委、</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政府经济工作中心，重点关注财政资金使用绩效和政策实施效果，着力发挥审计“治已病、防未病”的功能作用，依法全面履行审计监督和服务职责。</w:t>
      </w:r>
    </w:p>
    <w:p>
      <w:pPr>
        <w:widowControl w:val="0"/>
        <w:wordWrap/>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审计结果表明，</w:t>
      </w:r>
      <w:r>
        <w:rPr>
          <w:rFonts w:hint="eastAsia" w:ascii="仿宋" w:hAnsi="仿宋" w:eastAsia="仿宋" w:cs="仿宋"/>
          <w:sz w:val="32"/>
          <w:szCs w:val="32"/>
          <w:highlight w:val="none"/>
        </w:rPr>
        <w:t>2021年</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财政</w:t>
      </w:r>
      <w:r>
        <w:rPr>
          <w:rFonts w:hint="eastAsia" w:ascii="仿宋" w:hAnsi="仿宋" w:eastAsia="仿宋" w:cs="仿宋"/>
          <w:sz w:val="32"/>
          <w:szCs w:val="32"/>
          <w:highlight w:val="none"/>
          <w:lang w:val="en-US" w:eastAsia="zh-CN"/>
        </w:rPr>
        <w:t>能够严格执行中央、省市的政策部署</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紧紧围绕</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委、</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政府经济工作</w:t>
      </w:r>
      <w:r>
        <w:rPr>
          <w:rFonts w:hint="eastAsia" w:ascii="仿宋" w:hAnsi="仿宋" w:eastAsia="仿宋" w:cs="仿宋"/>
          <w:sz w:val="32"/>
          <w:szCs w:val="32"/>
          <w:highlight w:val="none"/>
          <w:lang w:val="en-US" w:eastAsia="zh-CN"/>
        </w:rPr>
        <w:t>中</w:t>
      </w:r>
      <w:r>
        <w:rPr>
          <w:rFonts w:hint="eastAsia" w:ascii="仿宋" w:hAnsi="仿宋" w:eastAsia="仿宋" w:cs="仿宋"/>
          <w:sz w:val="32"/>
          <w:szCs w:val="32"/>
          <w:highlight w:val="none"/>
        </w:rPr>
        <w:t>心，在优先保障“三保”支出的基础上，坚持把民生福祉作为发展的根本目的，统筹各类资金保障重点民生需要，切实保障疫情防控资金需要，积极落实中央</w:t>
      </w:r>
      <w:r>
        <w:rPr>
          <w:rFonts w:hint="eastAsia" w:ascii="仿宋" w:hAnsi="仿宋" w:eastAsia="仿宋" w:cs="仿宋"/>
          <w:sz w:val="32"/>
          <w:szCs w:val="32"/>
          <w:highlight w:val="none"/>
          <w:lang w:val="en-US" w:eastAsia="zh-CN"/>
        </w:rPr>
        <w:t>省市</w:t>
      </w:r>
      <w:r>
        <w:rPr>
          <w:rFonts w:hint="eastAsia" w:ascii="仿宋" w:hAnsi="仿宋" w:eastAsia="仿宋" w:cs="仿宋"/>
          <w:sz w:val="32"/>
          <w:szCs w:val="32"/>
          <w:highlight w:val="none"/>
        </w:rPr>
        <w:t>减税降费政策，促进我</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经济和社会事业平稳发展。当年财政运行总体平稳，基本完成了年度预算收支任务。</w:t>
      </w:r>
    </w:p>
    <w:p>
      <w:pPr>
        <w:widowControl w:val="0"/>
        <w:wordWrap/>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财力保持相对平稳，积极争取政策资金。</w:t>
      </w:r>
      <w:r>
        <w:rPr>
          <w:rFonts w:hint="eastAsia" w:ascii="仿宋" w:hAnsi="仿宋" w:eastAsia="仿宋" w:cs="仿宋"/>
          <w:sz w:val="32"/>
          <w:szCs w:val="32"/>
          <w:highlight w:val="none"/>
        </w:rPr>
        <w:t>全</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财政以开源节流为抓手，一方面加强收入组织，紧抓重点行业和重点税源，积极向上争取政策资金支持，全年累计争取补助资金</w:t>
      </w:r>
      <w:r>
        <w:rPr>
          <w:rFonts w:hint="eastAsia" w:ascii="仿宋" w:hAnsi="仿宋" w:eastAsia="仿宋" w:cs="仿宋"/>
          <w:sz w:val="32"/>
          <w:szCs w:val="32"/>
          <w:highlight w:val="none"/>
          <w:lang w:val="en-US" w:eastAsia="zh-CN"/>
        </w:rPr>
        <w:t>470,035.00万</w:t>
      </w:r>
      <w:r>
        <w:rPr>
          <w:rFonts w:hint="eastAsia" w:ascii="仿宋" w:hAnsi="仿宋" w:eastAsia="仿宋" w:cs="仿宋"/>
          <w:sz w:val="32"/>
          <w:szCs w:val="32"/>
          <w:highlight w:val="none"/>
        </w:rPr>
        <w:t>元。另一方面严格落实政府过紧日子要求，进一步压减一般性支出，加大存量资金清理力度。</w:t>
      </w:r>
    </w:p>
    <w:p>
      <w:pPr>
        <w:widowControl w:val="0"/>
        <w:wordWrap/>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——支出结构不断优化，重点支出保障有力。大力压缩一般性支出，积极统筹财政资金，集中财力支持打赢三大攻坚战，</w:t>
      </w:r>
      <w:r>
        <w:rPr>
          <w:rFonts w:hint="eastAsia" w:ascii="仿宋" w:hAnsi="仿宋" w:eastAsia="仿宋" w:cs="仿宋"/>
          <w:color w:val="auto"/>
          <w:sz w:val="32"/>
          <w:szCs w:val="32"/>
          <w:highlight w:val="none"/>
        </w:rPr>
        <w:t>打赢疫情防控阻击战，不断加大对</w:t>
      </w:r>
      <w:r>
        <w:rPr>
          <w:rFonts w:hint="eastAsia" w:ascii="仿宋" w:hAnsi="仿宋" w:eastAsia="仿宋" w:cs="仿宋"/>
          <w:color w:val="auto"/>
          <w:sz w:val="32"/>
          <w:szCs w:val="32"/>
          <w:highlight w:val="none"/>
          <w:lang w:val="en-US" w:eastAsia="zh-CN"/>
        </w:rPr>
        <w:t>教育、社会保障及就业、城乡社区和农林水领域</w:t>
      </w:r>
      <w:r>
        <w:rPr>
          <w:rFonts w:hint="eastAsia" w:ascii="仿宋" w:hAnsi="仿宋" w:eastAsia="仿宋" w:cs="仿宋"/>
          <w:color w:val="auto"/>
          <w:sz w:val="32"/>
          <w:szCs w:val="32"/>
          <w:highlight w:val="none"/>
        </w:rPr>
        <w:t>的投入力度，202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年财政</w:t>
      </w:r>
      <w:r>
        <w:rPr>
          <w:rFonts w:hint="eastAsia" w:ascii="仿宋" w:hAnsi="仿宋" w:eastAsia="仿宋" w:cs="仿宋"/>
          <w:color w:val="auto"/>
          <w:sz w:val="32"/>
          <w:szCs w:val="32"/>
          <w:highlight w:val="none"/>
          <w:lang w:val="en-US" w:eastAsia="zh-CN"/>
        </w:rPr>
        <w:t>投入</w:t>
      </w:r>
      <w:r>
        <w:rPr>
          <w:rFonts w:hint="eastAsia" w:ascii="仿宋" w:hAnsi="仿宋" w:eastAsia="仿宋" w:cs="仿宋"/>
          <w:color w:val="auto"/>
          <w:sz w:val="32"/>
          <w:szCs w:val="32"/>
          <w:highlight w:val="none"/>
        </w:rPr>
        <w:t>重点</w:t>
      </w:r>
      <w:r>
        <w:rPr>
          <w:rFonts w:hint="eastAsia" w:ascii="仿宋" w:hAnsi="仿宋" w:eastAsia="仿宋" w:cs="仿宋"/>
          <w:color w:val="auto"/>
          <w:sz w:val="32"/>
          <w:szCs w:val="32"/>
          <w:highlight w:val="none"/>
          <w:lang w:val="en-US" w:eastAsia="zh-CN"/>
        </w:rPr>
        <w:t>领域</w:t>
      </w:r>
      <w:r>
        <w:rPr>
          <w:rFonts w:hint="eastAsia" w:ascii="仿宋" w:hAnsi="仿宋" w:eastAsia="仿宋" w:cs="仿宋"/>
          <w:color w:val="auto"/>
          <w:sz w:val="32"/>
          <w:szCs w:val="32"/>
          <w:highlight w:val="none"/>
        </w:rPr>
        <w:t>支出</w:t>
      </w:r>
      <w:r>
        <w:rPr>
          <w:rFonts w:hint="eastAsia" w:ascii="仿宋" w:hAnsi="仿宋" w:eastAsia="仿宋" w:cs="仿宋"/>
          <w:color w:val="auto"/>
          <w:sz w:val="32"/>
          <w:szCs w:val="32"/>
          <w:highlight w:val="none"/>
          <w:lang w:val="en-US" w:eastAsia="zh-CN"/>
        </w:rPr>
        <w:t>423,150.</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万元，占一般公共预算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支出总数的</w:t>
      </w:r>
      <w:r>
        <w:rPr>
          <w:rFonts w:hint="eastAsia" w:ascii="仿宋" w:hAnsi="仿宋" w:eastAsia="仿宋" w:cs="仿宋"/>
          <w:sz w:val="32"/>
          <w:szCs w:val="32"/>
          <w:highlight w:val="none"/>
          <w:lang w:val="en-US" w:eastAsia="zh-CN"/>
        </w:rPr>
        <w:t>52.46</w:t>
      </w:r>
      <w:r>
        <w:rPr>
          <w:rFonts w:hint="eastAsia" w:ascii="仿宋" w:hAnsi="仿宋" w:eastAsia="仿宋" w:cs="仿宋"/>
          <w:sz w:val="32"/>
          <w:szCs w:val="32"/>
          <w:highlight w:val="none"/>
        </w:rPr>
        <w:t>%。</w:t>
      </w:r>
    </w:p>
    <w:p>
      <w:pPr>
        <w:widowControl w:val="0"/>
        <w:wordWrap/>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——着力加强审计整改。</w:t>
      </w:r>
      <w:r>
        <w:rPr>
          <w:rFonts w:hint="eastAsia" w:ascii="仿宋" w:hAnsi="仿宋" w:eastAsia="仿宋" w:cs="仿宋"/>
          <w:sz w:val="32"/>
          <w:szCs w:val="32"/>
          <w:highlight w:val="none"/>
          <w:lang w:val="en-US" w:eastAsia="zh-CN"/>
        </w:rPr>
        <w:t>截止</w:t>
      </w:r>
      <w:r>
        <w:rPr>
          <w:rFonts w:hint="eastAsia" w:ascii="仿宋" w:hAnsi="仿宋" w:eastAsia="仿宋" w:cs="仿宋"/>
          <w:sz w:val="32"/>
          <w:szCs w:val="32"/>
          <w:highlight w:val="none"/>
        </w:rPr>
        <w:t>2021年</w:t>
      </w:r>
      <w:r>
        <w:rPr>
          <w:rFonts w:hint="eastAsia" w:ascii="仿宋" w:hAnsi="仿宋" w:eastAsia="仿宋" w:cs="仿宋"/>
          <w:sz w:val="32"/>
          <w:szCs w:val="32"/>
          <w:highlight w:val="none"/>
          <w:lang w:val="en-US" w:eastAsia="zh-CN"/>
        </w:rPr>
        <w:t>末</w:t>
      </w:r>
      <w:r>
        <w:rPr>
          <w:rFonts w:hint="eastAsia" w:ascii="仿宋" w:hAnsi="仿宋" w:eastAsia="仿宋" w:cs="仿宋"/>
          <w:sz w:val="32"/>
          <w:szCs w:val="32"/>
          <w:highlight w:val="none"/>
        </w:rPr>
        <w:t>，对20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预算执行和其他财政收支审计指出的问题，</w:t>
      </w:r>
      <w:r>
        <w:rPr>
          <w:rFonts w:hint="eastAsia" w:ascii="仿宋" w:hAnsi="仿宋" w:eastAsia="仿宋" w:cs="仿宋"/>
          <w:sz w:val="32"/>
          <w:szCs w:val="32"/>
          <w:highlight w:val="none"/>
          <w:lang w:val="en-US" w:eastAsia="zh-CN"/>
        </w:rPr>
        <w:t>区财政局和</w:t>
      </w:r>
      <w:r>
        <w:rPr>
          <w:rFonts w:hint="eastAsia" w:ascii="仿宋" w:hAnsi="仿宋" w:eastAsia="仿宋" w:cs="仿宋"/>
          <w:sz w:val="32"/>
          <w:szCs w:val="32"/>
          <w:highlight w:val="none"/>
        </w:rPr>
        <w:t>有关部门单位认真整改，规范资金使用</w:t>
      </w:r>
      <w:r>
        <w:rPr>
          <w:rFonts w:hint="eastAsia" w:ascii="仿宋" w:hAnsi="仿宋" w:eastAsia="仿宋" w:cs="仿宋"/>
          <w:sz w:val="32"/>
          <w:szCs w:val="32"/>
          <w:highlight w:val="none"/>
          <w:lang w:val="en-US" w:eastAsia="zh-CN"/>
        </w:rPr>
        <w:t>628.78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收缴存量资金125.54</w:t>
      </w:r>
      <w:r>
        <w:rPr>
          <w:rFonts w:hint="eastAsia" w:ascii="仿宋" w:hAnsi="仿宋" w:eastAsia="仿宋" w:cs="仿宋"/>
          <w:sz w:val="32"/>
          <w:szCs w:val="32"/>
          <w:highlight w:val="none"/>
        </w:rPr>
        <w:t>万元，收回</w:t>
      </w:r>
      <w:r>
        <w:rPr>
          <w:rFonts w:hint="eastAsia" w:ascii="仿宋" w:hAnsi="仿宋" w:eastAsia="仿宋" w:cs="仿宋"/>
          <w:sz w:val="32"/>
          <w:szCs w:val="32"/>
          <w:highlight w:val="none"/>
          <w:lang w:val="en-US" w:eastAsia="zh-CN"/>
        </w:rPr>
        <w:t>基金及非税收入1,054.83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积极督促九台区土地收购储备交易中心完成整改，已将原亚泰制药厂地块地上物残值款11.77万元缴入国库。</w:t>
      </w:r>
    </w:p>
    <w:p>
      <w:pPr>
        <w:widowControl w:val="0"/>
        <w:numPr>
          <w:ilvl w:val="0"/>
          <w:numId w:val="1"/>
        </w:numPr>
        <w:wordWrap/>
        <w:spacing w:line="560" w:lineRule="exact"/>
        <w:ind w:left="-10" w:leftChars="0" w:firstLine="64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区本级预算、决算（草案）编制及预算执行审计情况</w:t>
      </w:r>
    </w:p>
    <w:p>
      <w:pPr>
        <w:widowControl w:val="0"/>
        <w:numPr>
          <w:ilvl w:val="0"/>
          <w:numId w:val="0"/>
        </w:numPr>
        <w:wordWrap/>
        <w:spacing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重点审计了财政部门2021年度区级预算及决算（草案）编制、区本级预算执行及部门预算执行、债务管理及国有资产管理情况。区本级决算（草案）反映，2021年区一般公共预算收入806,547.00万元，支出806,547.00万元；政府性基金收入234,795.00万元，支出234,795.00万元；社会保险基金收入96,256.19万元，支出94,653.60万元，本年社保基金结余1,602.59万元。不含上划省统筹的企业职工基本养老保险基金、城乡居民基本医疗保险基金、工伤保险基金、失业保险基金收入，共计80,416.20万元,上解上级支出91,743.46万元（含历史结余）。从审计情况看，财政部门能够按照各级决策部署，落实各项发展要求，扎实推进各项工作。发现的主要问题：</w:t>
      </w:r>
    </w:p>
    <w:p>
      <w:pPr>
        <w:widowControl w:val="0"/>
        <w:numPr>
          <w:ilvl w:val="0"/>
          <w:numId w:val="2"/>
        </w:numPr>
        <w:wordWrap/>
        <w:spacing w:line="560" w:lineRule="exact"/>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未及时拨付专项资金27,911.41万元。</w:t>
      </w:r>
      <w:r>
        <w:rPr>
          <w:rFonts w:hint="eastAsia" w:ascii="仿宋" w:hAnsi="仿宋" w:eastAsia="仿宋" w:cs="仿宋"/>
          <w:b w:val="0"/>
          <w:bCs w:val="0"/>
          <w:color w:val="auto"/>
          <w:sz w:val="32"/>
          <w:szCs w:val="32"/>
          <w:highlight w:val="none"/>
          <w:lang w:val="en-US" w:eastAsia="zh-CN"/>
        </w:rPr>
        <w:t>其中：工程类专项资金18,840.69万元，均为已完工项目；</w:t>
      </w:r>
      <w:r>
        <w:rPr>
          <w:rFonts w:hint="eastAsia" w:ascii="仿宋" w:hAnsi="仿宋" w:eastAsia="仿宋" w:cs="仿宋"/>
          <w:color w:val="auto"/>
          <w:sz w:val="32"/>
          <w:szCs w:val="32"/>
          <w:highlight w:val="none"/>
          <w:lang w:val="en-US" w:eastAsia="zh-CN"/>
        </w:rPr>
        <w:t>补助类专项资金8,401.92万元，均已达到支付条件；经费类专项资金668.80万元，均已达到支付条件。</w:t>
      </w:r>
    </w:p>
    <w:p>
      <w:pPr>
        <w:widowControl w:val="0"/>
        <w:numPr>
          <w:ilvl w:val="0"/>
          <w:numId w:val="0"/>
        </w:numPr>
        <w:wordWrap/>
        <w:spacing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2、财政专户资金缴库不及时，金额1,324.81万元</w:t>
      </w:r>
    </w:p>
    <w:p>
      <w:pPr>
        <w:widowControl w:val="0"/>
        <w:numPr>
          <w:ilvl w:val="0"/>
          <w:numId w:val="0"/>
        </w:numPr>
        <w:wordWrap/>
        <w:spacing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2021年预算外账套暂存款—纳入预算管理结余1,324.81万元,其中:应缴未缴罚没收入、行政性收费收入等非税收入577.47万元;吉林省民航机场集团有限公司建设项目管理部缴纳3笔土地出让金的基金收入747.34万元。</w:t>
      </w:r>
    </w:p>
    <w:p>
      <w:pPr>
        <w:widowControl w:val="0"/>
        <w:numPr>
          <w:ilvl w:val="0"/>
          <w:numId w:val="0"/>
        </w:numPr>
        <w:wordWrap/>
        <w:spacing w:line="560" w:lineRule="exact"/>
        <w:ind w:firstLine="64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3、财政资金往来款项未及时清理45.00万元</w:t>
      </w:r>
    </w:p>
    <w:p>
      <w:pPr>
        <w:widowControl w:val="0"/>
        <w:numPr>
          <w:ilvl w:val="0"/>
          <w:numId w:val="0"/>
        </w:numPr>
        <w:wordWrap/>
        <w:spacing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2021年6月区财政局向九台区波泥河街道办事处借款45.00万元，列其他应收款。截至2021年12月末，该款项未收回。</w:t>
      </w:r>
    </w:p>
    <w:p>
      <w:pPr>
        <w:widowControl w:val="0"/>
        <w:numPr>
          <w:ilvl w:val="0"/>
          <w:numId w:val="1"/>
        </w:numPr>
        <w:wordWrap/>
        <w:spacing w:line="560" w:lineRule="exact"/>
        <w:ind w:left="-10" w:leftChars="0" w:firstLine="640" w:firstLineChars="0"/>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部门预算执行审计情况</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财政预算执行及其他财政收支审计重点延伸了九台区住房和城乡建设局、九台区工业和信息化局等6个行政事业单位和长春九台经济开发区、九台区龙嘉街道等6个街道办事处，同时结合2022年已完成的5个部门预算执行审计情况，发现以下问题：</w:t>
      </w:r>
    </w:p>
    <w:p>
      <w:pPr>
        <w:widowControl w:val="0"/>
        <w:numPr>
          <w:ilvl w:val="0"/>
          <w:numId w:val="0"/>
        </w:numPr>
        <w:wordWrap/>
        <w:spacing w:line="56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1、九台区住房和城乡建设局应收未收城市基础设施配套费897.93万元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截至2021年末，九台区住房和城乡建设局应收2020-2021年城市基础设施配套费项目86个，应收金额3,501.72万元，实收项目73个，实收金额2,603.79万元，未收项目13个，未收金额897.93万元。未收项目原因如下：</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①因政府拖欠工程款未缴纳项目7个，涉及配套费502.34万元；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②政府投资工程未缴纳项目4个，涉及配套费77.85万元；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③无原因欠缴项目2个（星河湾小区、阅湖九章小区），涉及配套费317.74万元。</w:t>
      </w:r>
    </w:p>
    <w:p>
      <w:pPr>
        <w:widowControl w:val="0"/>
        <w:numPr>
          <w:ilvl w:val="0"/>
          <w:numId w:val="0"/>
        </w:numPr>
        <w:wordWrap/>
        <w:spacing w:line="56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2、应缴未缴农村经营性建设用地土地增值收益调节金586.53万元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截至2021年末，九台区卡伦湖街道办事处、九台区龙嘉街道办事处等5个乡镇（街道办事处）应缴未缴农村集体经营性建设用地土地增值收益调节金586.53万元。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（1）九台区卡伦湖街道办事处利民村、孙家村等8个村15宗集体经营性建设用地入市面积119,585.00平方米，出让价款1,544.31万元，净收益1,101.31万元，按20%-50%的比例，应缴入区财政460.34万元。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（2）九台区龙嘉街道办事处翻身村、龙嘉堡村2宗集体经营性建设用地入市面积4,657.00平方米，出让价款115.96万元，净收益85.81万元，按20%-50%的比例，应缴入区财政40.97万元。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（3）九台区其塔木镇北山村2宗集体经营性建设用地入市面积14,826.00平方米，出让价款83.73万元，净收益40.48万元，按20%-50%的比例，应缴入区财政11.85万元。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（4）九台区纪家街道办事处双杖子村1宗集体经营性建设用地入市面积6,850.00平方米，出让价款85.62万元，净收益64.03万元，按40%的比例，应缴入区财政25.61万元。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（5）九台区兴隆街道办事处前岗子村1宗集体经营性建设用地入市面积10,580.00平方米，出让价款144.94万元，净收益113.73万元，按42%的比例，应缴入区财政47.76万元。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截至审计时，上述21宗集体经营性建设用地应进行清算而未清算，资金现存于各乡镇（街道办事处）财政所账户或综合服务中心账户。</w:t>
      </w:r>
    </w:p>
    <w:p>
      <w:pPr>
        <w:widowControl w:val="0"/>
        <w:numPr>
          <w:ilvl w:val="0"/>
          <w:numId w:val="0"/>
        </w:numPr>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3、部门应缴未缴、应收未收非税收入24,700.82万元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（1）九台区农业农村局应缴未缴九台区土们岭街道办事处山咀村（九台区种畜场场址）征地补偿款137.62万元；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（2）九台区国有林总场应缴未缴波泥河管护站、二道沟管护站高速公路占地补偿款及二道沟管护站林地补偿款599.48万元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（3）九台区自然资源局应收未收土地出让金、滞纳金23,963.72万元，其中：</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①应收未收长春九庆房地产置业有限责任公司九台区中央大街以东、福临大街以北、福星大街以南、规划健康路以西地块第二期土地出让金12,406.73万元及滞纳金3,330.32万元，合计15,737.05万元。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②应收未收吉林省国隆房地产开发有限公司九台街道以南、烟草公司以北、规划路以东、前进路以西地块第二期土地出让金2,316.06万元及滞纳金88.01万元，合计2,404.07万元。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③应收未收九台区房地产经营开发有限责任公司保障性安居工程东泰家园项目（一期）滞纳金234.75万元。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④应收未收九台区市场经营开发有限公司农贸市场项目土地出让金59.80万元及滞纳金49.81万元，合计109.61万元。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⑤应收未收九台区龙嘉街道办事处集中供热项目（划拨地块）土地出让金557.85万元。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⑥应收未收九台区住房和城乡建设局九溪新区道路工程项目（划拨地块）土地出让金4,920.39万元。</w:t>
      </w:r>
    </w:p>
    <w:p>
      <w:pPr>
        <w:widowControl w:val="0"/>
        <w:numPr>
          <w:ilvl w:val="0"/>
          <w:numId w:val="0"/>
        </w:numPr>
        <w:wordWrap/>
        <w:spacing w:line="56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highlight w:val="none"/>
          <w:lang w:val="en-US" w:eastAsia="zh-CN"/>
        </w:rPr>
        <w:t>九台区农业农村局下属单位九台区植物保护检疫站个人欠款清理不及时，金额11.97万元</w:t>
      </w:r>
    </w:p>
    <w:p>
      <w:pPr>
        <w:widowControl w:val="0"/>
        <w:numPr>
          <w:ilvl w:val="0"/>
          <w:numId w:val="0"/>
        </w:numPr>
        <w:wordWrap/>
        <w:spacing w:line="560" w:lineRule="exact"/>
        <w:ind w:firstLine="640" w:firstLineChars="200"/>
        <w:rPr>
          <w:rFonts w:hint="default"/>
          <w:lang w:val="en-US" w:eastAsia="zh-CN"/>
        </w:rPr>
      </w:pPr>
      <w:r>
        <w:rPr>
          <w:rFonts w:hint="eastAsia" w:ascii="仿宋" w:hAnsi="仿宋" w:eastAsia="仿宋" w:cs="仿宋"/>
          <w:sz w:val="32"/>
          <w:szCs w:val="32"/>
          <w:highlight w:val="none"/>
          <w:lang w:val="en-US" w:eastAsia="zh-CN"/>
        </w:rPr>
        <w:t>截止2021年末，九台区植物保护检疫站其他应收款体现刘某某等4人欠款11.97万元。其中刘某某个人占款11.52万元涉嫌长期占用财政资金、数额较大，该占款涉及的问题线索已移送纪检监察机关处理。</w:t>
      </w:r>
    </w:p>
    <w:p>
      <w:pPr>
        <w:widowControl w:val="0"/>
        <w:numPr>
          <w:ilvl w:val="0"/>
          <w:numId w:val="0"/>
        </w:numPr>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5、九台区自然资源局未及时清理矿山地质环境治理和土地复垦保证金4,693.50万元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吉林省自然资源厅关于采矿生产项目土地复垦费预存纳入矿山地质环境治理恢复基金管理有关问题的通知》的相关规定，自然资源主管部门应于2021年5月底前清理矿山地质治理恢复保证金，将矿山土地复垦预存费用纳入基金管理。截至2021年12月31日九台区自然资源局矿山地质环境治理保证金账内，其他应付款—矿山地质治理恢复保证金结存4,693.50万元未清理（其中：矿山地质治理恢复保证金结存2,726.10万元，土地复垦保证金结存1,963.40万元）。</w:t>
      </w:r>
    </w:p>
    <w:p>
      <w:pPr>
        <w:widowControl w:val="0"/>
        <w:numPr>
          <w:ilvl w:val="0"/>
          <w:numId w:val="1"/>
        </w:numPr>
        <w:wordWrap/>
        <w:snapToGrid/>
        <w:spacing w:line="560" w:lineRule="exact"/>
        <w:ind w:left="-10" w:leftChars="0" w:firstLine="64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领导干部经济责任审计情况</w:t>
      </w:r>
    </w:p>
    <w:p>
      <w:pPr>
        <w:pStyle w:val="2"/>
        <w:ind w:firstLine="640"/>
        <w:jc w:val="both"/>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根据2022年审计计划，截止7月末完成8户领导干部经济责任审计，发现的主要问题：</w:t>
      </w:r>
    </w:p>
    <w:p>
      <w:pPr>
        <w:widowControl w:val="0"/>
        <w:numPr>
          <w:ilvl w:val="0"/>
          <w:numId w:val="0"/>
        </w:numPr>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1、九台区农业农村局下属单位九台区红铧农业机械有限公司管理的九台区农业物资机械物流仓储交易中心挡土墙工程未经财政评审</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2020年由吉林省吉罡建设工程有限公司建设的九台区农业物资机械物流仓储交易中心挡土墙工程，经第三方中介机构吉林省兴元工程项目管理有限公司出具该项目《工程竣工结算价审定表》，审定值为47.60万元。</w:t>
      </w:r>
    </w:p>
    <w:p>
      <w:pPr>
        <w:widowControl w:val="0"/>
        <w:numPr>
          <w:ilvl w:val="0"/>
          <w:numId w:val="0"/>
        </w:numPr>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2、扩大开支范围列支费用26.65万元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（1）九台区人力资源和社会保障局下属单位九台区劳动保障监察大队扩大开支范围列支企业拖欠的农民工工资24.28万元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2020年12月九台区劳动保障监察大队拨付长春华星建筑有限责任公司24.28万元，列业务活动支出科目，用于支付九台区地质新城二期工程中拖欠的马超、郭玉龙等11名项目部人员2015年、2016年工资。</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（2）九台区交通运输局扩大差旅费开支范围2.37万元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2019年至2021年九台区交通运输局报销不在差旅费报销范围内的九郊街道办事处差旅费2.37万元。</w:t>
      </w:r>
    </w:p>
    <w:p>
      <w:pPr>
        <w:widowControl w:val="0"/>
        <w:numPr>
          <w:ilvl w:val="0"/>
          <w:numId w:val="0"/>
        </w:numPr>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3、九台区人力资源和社会保障局下属单位创业孵化基地（大学生创业园）未建立孵化企业的准入退出机制</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经审计调查发现，大学生创业园目前共有27家在孵企业，入驻时间超过2年的有22家企业，超过5年的有11家企业。例如：长春市宝捷汽车零部件制造有限公司入驻时间为2013年7月1日，</w:t>
      </w:r>
      <w:r>
        <w:rPr>
          <w:rFonts w:hint="eastAsia" w:ascii="仿宋" w:hAnsi="仿宋" w:eastAsia="仿宋" w:cs="仿宋"/>
          <w:color w:val="auto"/>
          <w:sz w:val="32"/>
          <w:szCs w:val="32"/>
          <w:highlight w:val="none"/>
          <w:lang w:val="en-US" w:eastAsia="zh-CN"/>
        </w:rPr>
        <w:t>长春众汇和医</w:t>
      </w:r>
      <w:r>
        <w:rPr>
          <w:rFonts w:hint="eastAsia" w:ascii="仿宋" w:hAnsi="仿宋" w:eastAsia="仿宋" w:cs="仿宋"/>
          <w:sz w:val="32"/>
          <w:szCs w:val="32"/>
          <w:highlight w:val="none"/>
          <w:lang w:val="en-US" w:eastAsia="zh-CN"/>
        </w:rPr>
        <w:t>疗技术有限公司入驻时间为2013年8月1日。创业园没有按规定建立孵化企业的准入退出机制，孵化成型后的企业没有收取相应的租金，依然免费给企业提供场地和设备。</w:t>
      </w:r>
    </w:p>
    <w:p>
      <w:pPr>
        <w:widowControl w:val="0"/>
        <w:numPr>
          <w:ilvl w:val="0"/>
          <w:numId w:val="0"/>
        </w:numPr>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4、九台区交通运输局应计未计支出（费用超支挂账）180.96万元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2019年至2021年九台区交通运输局在其他应收款-其他单位-待摊费用科目挂账商品和服务支出各项费用共计180.96万元,其中：2019年挂账37.82万元；2020年挂账61.95万元；2021年挂账81.19万元。</w:t>
      </w:r>
    </w:p>
    <w:p>
      <w:pPr>
        <w:widowControl w:val="0"/>
        <w:numPr>
          <w:ilvl w:val="0"/>
          <w:numId w:val="1"/>
        </w:numPr>
        <w:wordWrap/>
        <w:snapToGrid/>
        <w:spacing w:line="560" w:lineRule="exact"/>
        <w:ind w:left="-10" w:leftChars="0" w:firstLine="64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政府性债务审计情况</w:t>
      </w:r>
    </w:p>
    <w:p>
      <w:pPr>
        <w:pStyle w:val="2"/>
        <w:widowControl w:val="0"/>
        <w:wordWrap/>
        <w:snapToGrid/>
        <w:spacing w:line="560" w:lineRule="exact"/>
        <w:ind w:firstLine="640" w:firstLineChars="200"/>
        <w:jc w:val="both"/>
        <w:rPr>
          <w:rFonts w:hint="eastAsia"/>
          <w:highlight w:val="none"/>
          <w:lang w:val="en-US" w:eastAsia="zh-CN"/>
        </w:rPr>
      </w:pPr>
      <w:r>
        <w:rPr>
          <w:rFonts w:hint="eastAsia" w:ascii="仿宋" w:hAnsi="仿宋" w:eastAsia="仿宋" w:cs="仿宋"/>
          <w:b w:val="0"/>
          <w:bCs/>
          <w:highlight w:val="none"/>
          <w:lang w:val="en-US" w:eastAsia="zh-CN"/>
        </w:rPr>
        <w:t>2021年12月末，经省财政厅核定、省政府批准，2021年末九台区债务限额为858,351.00万元，债务系统内债务总额766,957.49万元，债务率89.35%，隐性债务461,928.09万元，九台区实际地方债务总额1,228,885.58万元（不含政府负有支出责任3P项目的总支出责任）。政府负有支出责任的3P项目514,024.89万元（已完工8个项目总投资额161,826.03万元、运营服务费总额352,198.86万元）。其中债券资金存在的问题：</w:t>
      </w:r>
    </w:p>
    <w:p>
      <w:pPr>
        <w:widowControl w:val="0"/>
        <w:numPr>
          <w:ilvl w:val="0"/>
          <w:numId w:val="0"/>
        </w:numPr>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财政未按规定的用款计划、进度拨付债券资金27,734.62万元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（1）一般债券资金未按规定的用款计划、进度拨付14,334.62万元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2020年至2021年九台区一般债券资金实施的16个工程项目，共计发行一般债券金额39,600.00万元,已拨付并支出到项目的一般债券资金25,265.38万元,截止到2021年末，尚未支出的一般债券资金14,334.62万元，其中兴隆街道街区提升改造、高标准农田、保障小型水库安全运行、2019-2020年“畅返不畅”改造项目零拨付（趴帐），涉及金额3,322.00万元。</w:t>
      </w:r>
    </w:p>
    <w:p>
      <w:pPr>
        <w:widowControl w:val="0"/>
        <w:numPr>
          <w:ilvl w:val="0"/>
          <w:numId w:val="0"/>
        </w:numPr>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（2）专项债券资金未按规定的用款计划、进度拨付13,400.00万元</w:t>
      </w:r>
    </w:p>
    <w:p>
      <w:pPr>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 xml:space="preserve">     2020年至2021年九台区专项债券资金实施的4个工程项目</w:t>
      </w:r>
      <w:r>
        <w:rPr>
          <w:rFonts w:hint="eastAsia" w:ascii="仿宋" w:hAnsi="仿宋" w:eastAsia="仿宋" w:cs="仿宋"/>
          <w:sz w:val="32"/>
          <w:szCs w:val="32"/>
          <w:lang w:val="en-US" w:eastAsia="zh-CN"/>
        </w:rPr>
        <w:t>，共计发行专项债券金额24,800.00万元,已拨付并支出到项目的专项债券资金11,400.00万元,截止到2021年末，尚未支出的专项债券资金13,400.00万元，其中九台区人民医院急诊急救平战结合综合用房扩建、龙嘉至饮马河街区供热管线工程项目零拨付（趴帐），涉及金额6,300.00万元。</w:t>
      </w:r>
    </w:p>
    <w:p>
      <w:pPr>
        <w:widowControl w:val="0"/>
        <w:numPr>
          <w:ilvl w:val="0"/>
          <w:numId w:val="1"/>
        </w:numPr>
        <w:wordWrap/>
        <w:snapToGrid/>
        <w:spacing w:line="560" w:lineRule="exact"/>
        <w:ind w:left="-10" w:leftChars="0" w:firstLine="64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国有资产管理方面存在的问题</w:t>
      </w:r>
    </w:p>
    <w:p>
      <w:pPr>
        <w:pStyle w:val="2"/>
        <w:widowControl w:val="0"/>
        <w:wordWrap/>
        <w:snapToGrid/>
        <w:spacing w:line="560" w:lineRule="exact"/>
        <w:jc w:val="both"/>
        <w:rPr>
          <w:rFonts w:hint="default" w:ascii="仿宋" w:hAnsi="仿宋" w:eastAsia="仿宋" w:cs="仿宋"/>
          <w:b w:val="0"/>
          <w:bCs/>
          <w:highlight w:val="none"/>
          <w:lang w:val="en-US" w:eastAsia="zh-CN"/>
        </w:rPr>
      </w:pPr>
      <w:r>
        <w:rPr>
          <w:rFonts w:hint="eastAsia"/>
          <w:highlight w:val="none"/>
          <w:lang w:val="en-US" w:eastAsia="zh-CN"/>
        </w:rPr>
        <w:t xml:space="preserve">    </w:t>
      </w:r>
      <w:r>
        <w:rPr>
          <w:rFonts w:hint="eastAsia" w:ascii="仿宋" w:hAnsi="仿宋" w:eastAsia="仿宋" w:cs="仿宋"/>
          <w:b w:val="0"/>
          <w:bCs/>
          <w:highlight w:val="none"/>
          <w:lang w:val="en-US" w:eastAsia="zh-CN"/>
        </w:rPr>
        <w:t>重点审计了国有资产管理情况及回迁安置小区商业用房管理情况。截至2021年末，土地账面面积36.52公顷；房屋账面面积122.79万平方米；车辆账面数量929辆。国有用地面积239.20公顷；煤炭保有资源储量3.90亿吨；国有林经营总面积1.97万公顷，林木总蓄积量120万立方米；九台区域内有3座中型水库，分别为牛头山水库、柴福林水库、五一水库，水库水面总面积0.15万公顷。2021年实现国有资产非税收入6,360.00万元。发现的主要问题：</w:t>
      </w:r>
    </w:p>
    <w:p>
      <w:pPr>
        <w:widowControl w:val="0"/>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1、九台区各类棚户区改造项目的商业用房未及时办理竣工结算（决算）手续，导致棚户区商业用房未计入固定资产</w:t>
      </w:r>
    </w:p>
    <w:p>
      <w:pPr>
        <w:widowControl w:val="0"/>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截至2021年末，九台区房地产经营开发有限公司、九台区煤矿棚户区改造领导小组办公室等4家棚户区改造项目建设单位，建成9个回迁安置小区，共计366套商业用房未及时办理建设项目竣工决算手续。</w:t>
      </w:r>
    </w:p>
    <w:p>
      <w:pPr>
        <w:widowControl w:val="0"/>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2、九台区农业农村局下属单位九台区红铧农业机械有限公司管理的九台区农业物资机械物流仓储交易中心出租国有资产未按规定程序进行国有资产评估</w:t>
      </w:r>
    </w:p>
    <w:p>
      <w:pPr>
        <w:widowControl w:val="0"/>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1月九台区红铧农业机械有限公司管理的九台区农业物资机械物流仓储交易中心自行出租展厅、场地及仓库29户，其中展厅2.50万元/年/户-3.00万元/年/户、场地30元/平方米/年、仓库80元/平方米/年，出租收入合计128.75万元。场地、展厅及库房等出租未进行国有资产评估。</w:t>
      </w:r>
    </w:p>
    <w:p>
      <w:pPr>
        <w:widowControl w:val="0"/>
        <w:wordWrap/>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3、九台区交通运输局管理的国有资产被九台区客运公司无偿使用</w:t>
      </w:r>
    </w:p>
    <w:p>
      <w:pPr>
        <w:widowControl w:val="0"/>
        <w:wordWrap/>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九台区交通运输局建设的南客运站投资额4,189.50万元 ，该项目2013年8月立项，</w:t>
      </w:r>
      <w:r>
        <w:rPr>
          <w:rFonts w:hint="eastAsia" w:ascii="仿宋" w:hAnsi="仿宋" w:eastAsia="仿宋" w:cs="仿宋"/>
          <w:color w:val="auto"/>
          <w:sz w:val="32"/>
          <w:szCs w:val="32"/>
          <w:highlight w:val="none"/>
          <w:lang w:val="en-US" w:eastAsia="zh-CN"/>
        </w:rPr>
        <w:t>占地面</w:t>
      </w:r>
      <w:r>
        <w:rPr>
          <w:rFonts w:hint="eastAsia" w:ascii="仿宋" w:hAnsi="仿宋" w:eastAsia="仿宋" w:cs="仿宋"/>
          <w:sz w:val="32"/>
          <w:szCs w:val="32"/>
          <w:highlight w:val="none"/>
          <w:lang w:val="en-US" w:eastAsia="zh-CN"/>
        </w:rPr>
        <w:t>积14,886平方米，建筑面积4,453.07平方米，2018年3月竣工决算并无偿交付九台区客运公司下属的南客运站使用至今，未签订任何使用协议。九台区交通运输局于2021年11月将该在建工程转为固定资产。</w:t>
      </w:r>
    </w:p>
    <w:p>
      <w:pPr>
        <w:keepNext w:val="0"/>
        <w:keepLines w:val="0"/>
        <w:pageBreakBefore w:val="0"/>
        <w:widowControl w:val="0"/>
        <w:numPr>
          <w:ilvl w:val="0"/>
          <w:numId w:val="0"/>
        </w:numPr>
        <w:kinsoku/>
        <w:wordWrap/>
        <w:overflowPunct/>
        <w:topLinePunct w:val="0"/>
        <w:autoSpaceDE/>
        <w:autoSpaceDN/>
        <w:bidi w:val="0"/>
        <w:snapToGrid/>
        <w:spacing w:line="560" w:lineRule="exact"/>
        <w:ind w:left="630" w:leftChars="0"/>
        <w:rPr>
          <w:rFonts w:hint="default"/>
          <w:lang w:val="en-US" w:eastAsia="zh-CN"/>
        </w:rPr>
      </w:pPr>
      <w:r>
        <w:rPr>
          <w:rFonts w:hint="eastAsia" w:ascii="黑体" w:hAnsi="黑体" w:eastAsia="黑体" w:cs="黑体"/>
          <w:sz w:val="32"/>
          <w:szCs w:val="32"/>
          <w:highlight w:val="none"/>
          <w:lang w:val="en-US" w:eastAsia="zh-CN"/>
        </w:rPr>
        <w:t>六、审计移送的问题线索情况</w:t>
      </w:r>
    </w:p>
    <w:p>
      <w:pPr>
        <w:pStyle w:val="2"/>
        <w:keepNext w:val="0"/>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 w:hAnsi="仿宋" w:eastAsia="仿宋" w:cs="仿宋"/>
          <w:b w:val="0"/>
          <w:bCs/>
          <w:lang w:val="en-US" w:eastAsia="zh-CN"/>
        </w:rPr>
      </w:pPr>
      <w:r>
        <w:rPr>
          <w:rFonts w:hint="eastAsia" w:ascii="仿宋" w:hAnsi="仿宋" w:eastAsia="仿宋" w:cs="仿宋"/>
          <w:b w:val="0"/>
          <w:bCs/>
          <w:lang w:val="en-US" w:eastAsia="zh-CN"/>
        </w:rPr>
        <w:t>在上述各项审计中，移送问题线索2起。其中移送区纪委1起，移送区国有资产管理</w:t>
      </w:r>
      <w:r>
        <w:rPr>
          <w:rFonts w:hint="eastAsia" w:ascii="仿宋" w:hAnsi="仿宋" w:eastAsia="仿宋" w:cs="仿宋"/>
          <w:b w:val="0"/>
          <w:bCs/>
          <w:highlight w:val="none"/>
          <w:lang w:val="en-US" w:eastAsia="zh-CN"/>
        </w:rPr>
        <w:t>局1起。上述问题主要集中在两个方面：一是部门财政资金长期被个人占用的问题；二是出租国有资产未按规定程序进行国有资产评估</w:t>
      </w:r>
      <w:r>
        <w:rPr>
          <w:rFonts w:hint="eastAsia" w:ascii="仿宋" w:hAnsi="仿宋" w:eastAsia="仿宋" w:cs="仿宋"/>
          <w:b w:val="0"/>
          <w:bCs/>
          <w:lang w:val="en-US" w:eastAsia="zh-CN"/>
        </w:rPr>
        <w:t>的问题。</w:t>
      </w:r>
    </w:p>
    <w:p>
      <w:pPr>
        <w:keepNext w:val="0"/>
        <w:keepLines w:val="0"/>
        <w:pageBreakBefore w:val="0"/>
        <w:widowControl w:val="0"/>
        <w:kinsoku/>
        <w:wordWrap/>
        <w:overflowPunct/>
        <w:topLinePunct w:val="0"/>
        <w:autoSpaceDE/>
        <w:autoSpaceDN/>
        <w:bidi w:val="0"/>
        <w:snapToGrid/>
        <w:spacing w:line="560" w:lineRule="exact"/>
        <w:rPr>
          <w:rFonts w:hint="default"/>
          <w:sz w:val="32"/>
          <w:szCs w:val="32"/>
          <w:lang w:val="en-US" w:eastAsia="zh-CN"/>
        </w:rPr>
      </w:pPr>
      <w:r>
        <w:rPr>
          <w:rFonts w:hint="eastAsia"/>
          <w:sz w:val="32"/>
          <w:szCs w:val="32"/>
          <w:lang w:val="en-US" w:eastAsia="zh-CN"/>
        </w:rPr>
        <w:t xml:space="preserve">   </w:t>
      </w:r>
      <w:r>
        <w:rPr>
          <w:rFonts w:hint="eastAsia" w:ascii="仿宋" w:hAnsi="仿宋" w:eastAsia="仿宋" w:cs="仿宋"/>
          <w:sz w:val="32"/>
          <w:szCs w:val="32"/>
          <w:lang w:val="en-US" w:eastAsia="zh-CN"/>
        </w:rPr>
        <w:t xml:space="preserve"> 审计线索移送后，相关部门十分重视，部门财政资金被长期占用的问题已经整改完毕，出租国有资产未按规定程序进行国有资产评估的问题正在积极整改中。</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sz w:val="32"/>
          <w:szCs w:val="32"/>
          <w:highlight w:val="none"/>
          <w:lang w:val="en-US" w:eastAsia="zh-CN"/>
        </w:rPr>
      </w:pPr>
      <w:r>
        <w:rPr>
          <w:rFonts w:hint="eastAsia" w:ascii="黑体" w:hAnsi="黑体" w:eastAsia="黑体" w:cs="黑体"/>
          <w:sz w:val="32"/>
          <w:szCs w:val="32"/>
          <w:highlight w:val="none"/>
          <w:lang w:val="en-US" w:eastAsia="zh-CN"/>
        </w:rPr>
        <w:t>七、审计建议</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深化预算管理改革，提高预算编制水平。深化预算管理改革，强化财政资源统筹，推进财政资金提质增效，提高预算管理规范化、标准化水平。严格落实过“紧日子”要求，切实压减非重点、非刚性的一般性支出，优化财政支出结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严格执行财经纪律，提高财政资金使用效益。各级各部门要严格执行相关财经纪律，加强财政财务管理，强化预算约束，切实做到无预算不支出。坚持花钱必问效、无效必问责，增强绩效管理意识，建立完善绩效考核体系，强化绩效管理激励约束机制，压实部门主体责任。健全项目绩效跟踪机制，及时调整预算执行过程中的偏差，避免出现资金闲置沉淀和损失浪费，切实提高财政资金使用效益。</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lang w:val="en-US" w:eastAsia="zh-CN"/>
        </w:rPr>
      </w:pPr>
      <w:r>
        <w:rPr>
          <w:rFonts w:hint="eastAsia" w:ascii="仿宋" w:hAnsi="仿宋" w:eastAsia="仿宋" w:cs="仿宋"/>
          <w:sz w:val="32"/>
          <w:szCs w:val="32"/>
          <w:highlight w:val="none"/>
          <w:lang w:val="en-US" w:eastAsia="zh-CN"/>
        </w:rPr>
        <w:t>（三）强化国有资产监督管理，提高国有资产使</w:t>
      </w:r>
      <w:bookmarkStart w:id="0" w:name="_GoBack"/>
      <w:bookmarkEnd w:id="0"/>
      <w:r>
        <w:rPr>
          <w:rFonts w:hint="eastAsia" w:ascii="仿宋" w:hAnsi="仿宋" w:eastAsia="仿宋" w:cs="仿宋"/>
          <w:sz w:val="32"/>
          <w:szCs w:val="32"/>
          <w:highlight w:val="none"/>
          <w:lang w:val="en-US" w:eastAsia="zh-CN"/>
        </w:rPr>
        <w:t>用效率。各级主管部门及有关单位要认真贯彻落实国家、省市关于国有资产管理方针政策和重大决策部署，加强对行政事业单位国有资产的监督管理，相关部门要定期不定期开展清查工作，确保国有资产真实完整。</w:t>
      </w:r>
    </w:p>
    <w:p>
      <w:pPr>
        <w:pStyle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pPr>
        <w:pStyle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pPr>
        <w:pStyle w:val="2"/>
        <w:rPr>
          <w:rFonts w:hint="eastAsia"/>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b w:val="0"/>
          <w:bCs/>
          <w:sz w:val="32"/>
          <w:szCs w:val="32"/>
          <w:highlight w:val="none"/>
          <w:lang w:val="en-US" w:eastAsia="zh-CN"/>
        </w:rPr>
        <w:t xml:space="preserve"> 2022年8月31日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57AA2"/>
    <w:multiLevelType w:val="singleLevel"/>
    <w:tmpl w:val="D7357AA2"/>
    <w:lvl w:ilvl="0" w:tentative="0">
      <w:start w:val="1"/>
      <w:numFmt w:val="decimal"/>
      <w:suff w:val="nothing"/>
      <w:lvlText w:val="%1、"/>
      <w:lvlJc w:val="left"/>
    </w:lvl>
  </w:abstractNum>
  <w:abstractNum w:abstractNumId="1">
    <w:nsid w:val="6712AF2F"/>
    <w:multiLevelType w:val="singleLevel"/>
    <w:tmpl w:val="6712AF2F"/>
    <w:lvl w:ilvl="0" w:tentative="0">
      <w:start w:val="1"/>
      <w:numFmt w:val="chineseCounting"/>
      <w:suff w:val="nothing"/>
      <w:lvlText w:val="%1、"/>
      <w:lvlJc w:val="left"/>
      <w:pPr>
        <w:ind w:left="-10"/>
      </w:pPr>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cxNWMxMmQxOWZlZTlmNzkzODgzNGNmNTcwOGRmMTMifQ=="/>
  </w:docVars>
  <w:rsids>
    <w:rsidRoot w:val="00000000"/>
    <w:rsid w:val="03144997"/>
    <w:rsid w:val="1A657E67"/>
    <w:rsid w:val="1CAA6FC5"/>
    <w:rsid w:val="21FE4ADB"/>
    <w:rsid w:val="22F55144"/>
    <w:rsid w:val="231919EE"/>
    <w:rsid w:val="24205794"/>
    <w:rsid w:val="243B414C"/>
    <w:rsid w:val="27F92A22"/>
    <w:rsid w:val="2AC23310"/>
    <w:rsid w:val="3107233A"/>
    <w:rsid w:val="31C718D8"/>
    <w:rsid w:val="37070151"/>
    <w:rsid w:val="488501C5"/>
    <w:rsid w:val="54436B1D"/>
    <w:rsid w:val="56F604A8"/>
    <w:rsid w:val="58437448"/>
    <w:rsid w:val="6BAB4150"/>
    <w:rsid w:val="6C9E6B3A"/>
    <w:rsid w:val="6D5316A8"/>
    <w:rsid w:val="716755D9"/>
    <w:rsid w:val="7E1410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2022-08-01T00:28:00Z</dcterms:created>
  <dc:creator>宫晓锐</dc:creator>
  <cp:lastModifiedBy>宫晓锐</cp:lastModifiedBy>
  <cp:lastPrinted>2022-09-15T02:16:32Z</cp:lastPrinted>
  <dcterms:modified xsi:type="dcterms:W3CDTF">2022-09-15T02:16:37Z</dcterms:modified>
  <dc:title>关于2021年度财政预算执行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5A2EC768A819427EA056E1BF242E80D8</vt:lpwstr>
  </property>
</Properties>
</file>